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media/rId912.png" ContentType="image/png"/>
  <Override PartName="/word/media/" ContentType="application/octet-stream"/>
  <Override PartName="/word/media/logo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 clear caller path</w:t>
      </w:r>
    </w:p>
    <w:p>
      <w:pPr>
        <w:pStyle w:val="Subtitle"/>
      </w:pPr>
      <w:r>
        <w:t xml:space="preserve">Drafts, versions, and phone routes</w:t>
      </w:r>
    </w:p>
    <w:p>
      <w:pPr>
        <w:pStyle w:val="Author"/>
      </w:pPr>
      <w:r>
        <w:t xml:space="preserve">IVR Cloud</w:t>
      </w:r>
    </w:p>
    <w:p>
      <w:pPr>
        <w:pStyle w:val="Date"/>
      </w:pPr>
      <w:r>
        <w:t xml:space="preserve">13 October 2026</w:t>
      </w:r>
    </w:p>
    <w:p>
      <w:pPr>
        <w:pStyle w:val="AbstractTitle"/>
      </w:pPr>
      <w:r>
        <w:t xml:space="preserve">Abstract</w:t>
      </w:r>
    </w:p>
    <w:p>
      <w:pPr>
        <w:pStyle w:val="Abstract"/>
      </w:pPr>
      <w:r>
        <w:t xml:space="preserve">An illustrative implementation brief showing the IVR document system. All organization names, records, and decisions are fictional.</w:t>
      </w:r>
    </w:p>
    <w:bookmarkStart w:id="918" w:name="define-the-call-flow"/>
    <w:p>
      <w:pPr>
        <w:pStyle w:val="Heading1"/>
      </w:pPr>
      <w:r>
        <w:t xml:space="preserve">Define the call flow</w:t>
      </w:r>
    </w:p>
    <w:p>
      <w:pPr>
        <w:pStyle w:val="FirstParagraph"/>
      </w:pPr>
      <w:r>
        <w:t xml:space="preserve">IVR Cloud helps businesses configure telephone menus, route calls, manage contacts and campaigns, and review call history and voicemail. A useful configuration makes the caller’s path understandable and the active route’s version explicit.</w:t>
      </w:r>
    </w:p>
    <w:p>
      <w:pPr>
        <w:pStyle w:val="BodyText"/>
      </w:pPr>
      <w:r>
        <w:t xml:space="preserve">This example describes a support line for Atelier Exemplu. It is a design specimen, not a validated production configuration or customer story.</w:t>
      </w:r>
    </w:p>
    <w:p>
      <w:pPr>
        <w:pStyle w:val="Callout"/>
      </w:pPr>
      <w:r>
        <w:rPr>
          <w:b/>
          <w:bCs/>
        </w:rPr>
        <w:t xml:space="preserve">Illustrative example.</w:t>
      </w:r>
      <w:r>
        <w:t xml:space="preserve"> </w:t>
      </w:r>
      <w:r>
        <w:t xml:space="preserve">Draft, publication, and deployment are different states. Publishing a version does not by itself change the phone route.</w:t>
      </w:r>
    </w:p>
    <w:bookmarkStart w:id="917" w:name="start-with-the-callers-decision"/>
    <w:p>
      <w:pPr>
        <w:pStyle w:val="Heading2"/>
      </w:pPr>
      <w:r>
        <w:t xml:space="preserve">Start with the caller’s decision</w:t>
      </w:r>
    </w:p>
    <w:p>
      <w:pPr>
        <w:pStyle w:val="CaptionedFigure"/>
      </w:pPr>
      <w:r>
        <w:drawing>
          <wp:inline>
            <wp:extent cx="5486400" cy="1508760"/>
            <wp:effectExtent b="0" l="0" r="0" t="0"/>
            <wp:docPr descr="Illustrative version lifecycle: edit a draft, publish an immutable version, then deploy separately to a phone route." title="" id="913" name="Picture"/>
            <a:graphic>
              <a:graphicData uri="http://schemas.openxmlformats.org/drawingml/2006/picture">
                <pic:pic>
                  <pic:nvPicPr>
                    <pic:cNvPr descr="ivr-workflow.png" id="914" name="Picture"/>
                    <pic:cNvPicPr>
                      <a:picLocks noChangeArrowheads="1" noChangeAspect="1"/>
                    </pic:cNvPicPr>
                  </pic:nvPicPr>
                  <pic:blipFill>
                    <a:blip r:embed="rId9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508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Illustrative version lifecycle: edit a draft, publish an immutable version, then deploy separately to a phone route.</w:t>
      </w:r>
    </w:p>
    <w:p>
      <w:pPr>
        <w:pStyle w:val="BodyText"/>
      </w:pPr>
      <w:r>
        <w:t xml:space="preserve">The greeting introduces the organization. A menu offers sales on key 1 and support on key 2. Invalid keys, no answer, and unsuccessful transfers need explicit paths according to the actual configuration.</w:t>
      </w:r>
    </w:p>
    <w:bookmarkStart w:id="915" w:name="make-each-outcome-readable"/>
    <w:p>
      <w:pPr>
        <w:pStyle w:val="Heading3"/>
      </w:pPr>
      <w:r>
        <w:t xml:space="preserve">Make each outcome readable</w:t>
      </w:r>
    </w:p>
    <w:p>
      <w:pPr>
        <w:pStyle w:val="FirstParagraph"/>
      </w:pPr>
      <w:r>
        <w:t xml:space="preserve">Name a branch after its actual result. Keep the start step and unconnected steps visible. A diagram is useful, but an accessible list or tree must also communicate the path.</w:t>
      </w:r>
    </w:p>
    <w:bookmarkEnd w:id="915"/>
    <w:bookmarkStart w:id="916" w:name="keep-the-selected-step-in-context"/>
    <w:p>
      <w:pPr>
        <w:pStyle w:val="Heading3"/>
      </w:pPr>
      <w:r>
        <w:t xml:space="preserve">Keep the selected step in context</w:t>
      </w:r>
    </w:p>
    <w:p>
      <w:pPr>
        <w:pStyle w:val="FirstParagraph"/>
      </w:pPr>
      <w:r>
        <w:t xml:space="preserve">Show the selected step’s type, message, and outgoing outcomes beside the flow. On a narrow screen, place the inspector after the tree rather than squeezing both panels.</w:t>
      </w:r>
    </w:p>
    <w:bookmarkEnd w:id="916"/>
    <w:bookmarkEnd w:id="917"/>
    <w:bookmarkEnd w:id="918"/>
    <w:bookmarkStart w:id="922" w:name="keep-versions-distinct"/>
    <w:p>
      <w:pPr>
        <w:pStyle w:val="Heading1"/>
      </w:pPr>
      <w:r>
        <w:t xml:space="preserve">Keep versions distinct</w:t>
      </w:r>
    </w:p>
    <w:p>
      <w:pPr>
        <w:pStyle w:val="FirstParagraph"/>
      </w:pPr>
      <w:r>
        <w:t xml:space="preserve">The editable draft, latest publication, and active route can point to different revisions. Keep all three visible before changing a route.</w:t>
      </w:r>
    </w:p>
    <w:p>
      <w:pPr>
        <w:pStyle w:val="TableCaption"/>
      </w:pPr>
      <w:r>
        <w:t xml:space="preserve">Fictional version context</w:t>
      </w:r>
    </w:p>
    <w:tbl>
      <w:tblPr>
        <w:tblStyle w:val="Table"/>
        <w:tblW w:type="auto" w:w="0"/>
        <w:tblLook w:firstRow="1" w:lastRow="0" w:firstColumn="0" w:lastColumn="0" w:noHBand="0" w:noVBand="0" w:val="0020"/>
        <w:tblCaption w:val="Fictional version context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State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Example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Draft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Editable flow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Published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Immutable version available for deployment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Active route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 used by this example’s phone route</w:t>
            </w:r>
          </w:p>
        </w:tc>
      </w:tr>
    </w:tbl>
    <w:bookmarkStart w:id="919" w:name="publication"/>
    <w:p>
      <w:pPr>
        <w:pStyle w:val="Heading2"/>
      </w:pPr>
      <w:r>
        <w:t xml:space="preserve">Publication</w:t>
      </w:r>
    </w:p>
    <w:p>
      <w:pPr>
        <w:pStyle w:val="FirstParagraph"/>
      </w:pPr>
      <w:r>
        <w:t xml:space="preserve">Publication creates an immutable version after the application’s validation succeeds. A suitable message is “Version published. You can deploy it to a phone number.” Do not state that callers already use it unless a separate deployment has succeeded.</w:t>
      </w:r>
    </w:p>
    <w:bookmarkEnd w:id="919"/>
    <w:bookmarkStart w:id="921" w:name="deployment-and-rollback"/>
    <w:p>
      <w:pPr>
        <w:pStyle w:val="Heading2"/>
      </w:pPr>
      <w:r>
        <w:t xml:space="preserve">Deployment and rollback</w:t>
      </w:r>
    </w:p>
    <w:p>
      <w:pPr>
        <w:pStyle w:val="FirstParagraph"/>
      </w:pPr>
      <w:r>
        <w:t xml:space="preserve">A deployment identifies the endpoint, number, and published version. Rollback requires an earlier ready deployment. It is not established merely because another publication exists.</w:t>
      </w:r>
      <w:r>
        <w:rPr>
          <w:rStyle w:val="FootnoteReference"/>
        </w:rPr>
        <w:footnoteReference w:id="920"/>
      </w:r>
    </w:p>
    <w:bookmarkEnd w:id="921"/>
    <w:bookmarkEnd w:id="922"/>
    <w:bookmarkStart w:id="925" w:name="review-the-proposed-change"/>
    <w:p>
      <w:pPr>
        <w:pStyle w:val="Heading1"/>
      </w:pPr>
      <w:r>
        <w:t xml:space="preserve">Review the proposed change</w:t>
      </w:r>
    </w:p>
    <w:p>
      <w:pPr>
        <w:pStyle w:val="Compact"/>
        <w:numPr>
          <w:ilvl w:val="0"/>
          <w:numId w:val="1001"/>
        </w:numPr>
      </w:pPr>
      <w:r>
        <w:t xml:space="preserve">Confirm the greeting and all menu outcomes.</w:t>
      </w:r>
    </w:p>
    <w:p>
      <w:pPr>
        <w:pStyle w:val="Compact"/>
        <w:numPr>
          <w:ilvl w:val="0"/>
          <w:numId w:val="1001"/>
        </w:numPr>
      </w:pPr>
      <w:r>
        <w:t xml:space="preserve">Check the root step and unreachable steps.</w:t>
      </w:r>
    </w:p>
    <w:p>
      <w:pPr>
        <w:pStyle w:val="Compact"/>
        <w:numPr>
          <w:ilvl w:val="0"/>
          <w:numId w:val="1001"/>
        </w:numPr>
      </w:pPr>
      <w:r>
        <w:t xml:space="preserve">Confirm the published version selected for deployment.</w:t>
      </w:r>
    </w:p>
    <w:p>
      <w:pPr>
        <w:pStyle w:val="Compact"/>
        <w:numPr>
          <w:ilvl w:val="0"/>
          <w:numId w:val="1001"/>
        </w:numPr>
      </w:pPr>
      <w:r>
        <w:t xml:space="preserve">Name the number and endpoint that will change.</w:t>
      </w:r>
    </w:p>
    <w:p>
      <w:pPr>
        <w:pStyle w:val="Compact"/>
        <w:numPr>
          <w:ilvl w:val="0"/>
          <w:numId w:val="1001"/>
        </w:numPr>
      </w:pPr>
      <w:r>
        <w:t xml:space="preserve">Verify the actual route state after activation.</w:t>
      </w:r>
    </w:p>
    <w:bookmarkStart w:id="923" w:name="example-record"/>
    <w:p>
      <w:pPr>
        <w:pStyle w:val="Heading2"/>
      </w:pPr>
      <w:r>
        <w:t xml:space="preserve">Example record</w:t>
      </w:r>
    </w:p>
    <w:p>
      <w:pPr>
        <w:pStyle w:val="SourceCode"/>
      </w:pPr>
      <w:r>
        <w:rPr>
          <w:rStyle w:val="VerbatimChar"/>
        </w:rPr>
        <w:t xml:space="preserve">Account: Atelier Exemplu (fictional)</w:t>
      </w:r>
      <w:r>
        <w:br/>
      </w:r>
      <w:r>
        <w:rPr>
          <w:rStyle w:val="VerbatimChar"/>
        </w:rPr>
        <w:t xml:space="preserve">Flow: Customer support</w:t>
      </w:r>
      <w:r>
        <w:br/>
      </w:r>
      <w:r>
        <w:rPr>
          <w:rStyle w:val="VerbatimChar"/>
        </w:rPr>
        <w:t xml:space="preserve">Draft: v4</w:t>
      </w:r>
      <w:r>
        <w:br/>
      </w:r>
      <w:r>
        <w:rPr>
          <w:rStyle w:val="VerbatimChar"/>
        </w:rPr>
        <w:t xml:space="preserve">Latest publication: v3</w:t>
      </w:r>
      <w:r>
        <w:br/>
      </w:r>
      <w:r>
        <w:rPr>
          <w:rStyle w:val="VerbatimChar"/>
        </w:rPr>
        <w:t xml:space="preserve">Active phone route: v2</w:t>
      </w:r>
      <w:r>
        <w:br/>
      </w:r>
      <w:r>
        <w:rPr>
          <w:rStyle w:val="VerbatimChar"/>
        </w:rPr>
        <w:t xml:space="preserve">Proposed next step: review the draft's missing outcomes</w:t>
      </w:r>
    </w:p>
    <w:p>
      <w:pPr>
        <w:pStyle w:val="BlockText"/>
      </w:pPr>
      <w:r>
        <w:t xml:space="preserve">A published version and a live route answer different questions.</w:t>
      </w:r>
    </w:p>
    <w:bookmarkEnd w:id="923"/>
    <w:bookmarkStart w:id="924" w:name="decision-needed"/>
    <w:p>
      <w:pPr>
        <w:pStyle w:val="Heading2"/>
      </w:pPr>
      <w:r>
        <w:t xml:space="preserve">Decision needed</w:t>
      </w:r>
    </w:p>
    <w:p>
      <w:pPr>
        <w:pStyle w:val="FirstParagraph"/>
      </w:pPr>
      <w:r>
        <w:t xml:space="preserve">Complete the missing menu outcomes before proposing activation. Keep the existing route state explicit throughout the review. This document demonstrates typography, tables, code, notes, and callout styles; it does not authorize an application or production change.</w:t>
      </w:r>
    </w:p>
    <w:bookmarkEnd w:id="924"/>
    <w:bookmarkEnd w:id="925"/>
    <w:sectPr>
      <w:headerReference r:id="rId902" w:type="default"/>
      <w:headerReference r:id="rId901" w:type="first"/>
      <w:footerReference r:id="rId903" w:type="default"/>
      <w:footerReference r:id="rId903" w:type="first"/>
      <w:pgSz w:h="16838" w:w="11906"/>
      <w:pgMar w:bottom="1440" w:footer="600" w:gutter="0" w:header="600" w:left="1440" w:right="1440" w:top="1440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Normal"/>
      <w:pBdr>
        <w:top w:val="single" w:sz="6" w:space="6" w:color="E4EBE7"/>
      </w:pBdr>
      <w:tabs>
        <w:tab w:val="right" w:pos="9360"/>
      </w:tabs>
      <w:spacing w:after="0" w:line="240" w:lineRule="auto"/>
    </w:pPr>
    <w:r>
      <w:rPr>
        <w:rFonts w:ascii="Inter" w:hAnsi="Inter" w:cs="Inter" w:eastAsia="Inter"/>
        <w:color w:val="65726C"/>
        <w:sz w:val="16"/>
        <w:szCs w:val="16"/>
      </w:rPr>
      <w:t xml:space="preserve">IVR Cloud</w:t>
    </w:r>
    <w:r>
      <w:tab/>
    </w:r>
    <w:r>
      <w:rPr>
        <w:rFonts w:ascii="DejaVu Sans Mono" w:hAnsi="DejaVu Sans Mono" w:cs="DejaVu Sans Mono" w:eastAsia="DejaVu Sans Mono"/>
        <w:b/>
        <w:bCs/>
        <w:color w:val="14231F"/>
        <w:sz w:val="16"/>
        <w:szCs w:val="16"/>
      </w:rPr>
      <w:t xml:space="preserve">IVR</w:t>
    </w:r>
    <w:r>
      <w:rPr>
        <w:rFonts w:ascii="DejaVu Sans Mono" w:hAnsi="DejaVu Sans Mono" w:cs="DejaVu Sans Mono" w:eastAsia="DejaVu Sans Mono"/>
        <w:b/>
        <w:bCs/>
        <w:color w:val="1F7558"/>
        <w:sz w:val="16"/>
        <w:szCs w:val="16"/>
      </w:rPr>
      <w:t xml:space="preserve">.</w:t>
    </w:r>
    <w:r>
      <w:rPr>
        <w:rFonts w:ascii="Inter" w:hAnsi="Inter" w:cs="Inter" w:eastAsia="Inter"/>
        <w:color w:val="65726C"/>
        <w:sz w:val="16"/>
        <w:szCs w:val="16"/>
      </w:rPr>
      <w:t xml:space="preserve">   Page </w:t>
    </w:r>
    <w:r>
      <w:rPr>
        <w:rFonts w:ascii="Inter" w:hAnsi="Inter" w:cs="Inter" w:eastAsia="Inter"/>
        <w:color w:val="65726C"/>
        <w:sz w:val="16"/>
        <w:szCs w:val="16"/>
      </w:rPr>
      <w:fldChar w:fldCharType="begin"/>
    </w:r>
    <w:r>
      <w:rPr>
        <w:rFonts w:ascii="Inter" w:hAnsi="Inter" w:cs="Inter" w:eastAsia="Inter"/>
        <w:color w:val="65726C"/>
        <w:sz w:val="16"/>
        <w:szCs w:val="16"/>
      </w:rPr>
      <w:instrText xml:space="preserve"> PAGE </w:instrText>
    </w:r>
    <w:r>
      <w:rPr>
        <w:rFonts w:ascii="Inter" w:hAnsi="Inter" w:cs="Inter" w:eastAsia="Inter"/>
        <w:color w:val="65726C"/>
        <w:sz w:val="16"/>
        <w:szCs w:val="16"/>
      </w:rPr>
      <w:fldChar w:fldCharType="separate"/>
    </w:r>
    <w:r>
      <w:rPr>
        <w:rFonts w:ascii="Inter" w:hAnsi="Inter" w:cs="Inter" w:eastAsia="Inter"/>
        <w:color w:val="65726C"/>
        <w:sz w:val="16"/>
        <w:szCs w:val="16"/>
      </w:rPr>
      <w:t>1</w:t>
    </w:r>
    <w:r>
      <w:rPr>
        <w:rFonts w:ascii="Inter" w:hAnsi="Inter" w:cs="Inter" w:eastAsia="Inter"/>
        <w:color w:val="65726C"/>
        <w:sz w:val="16"/>
        <w:szCs w:val="16"/>
      </w:rPr>
      <w:fldChar w:fldCharType="end"/>
    </w:r>
    <w:r>
      <w:rPr>
        <w:rFonts w:ascii="Inter" w:hAnsi="Inter" w:cs="Inter" w:eastAsia="Inter"/>
        <w:color w:val="65726C"/>
        <w:sz w:val="16"/>
        <w:szCs w:val="16"/>
      </w:rPr>
      <w:t xml:space="preserve"> of </w:t>
    </w:r>
    <w:r>
      <w:rPr>
        <w:rFonts w:ascii="Inter" w:hAnsi="Inter" w:cs="Inter" w:eastAsia="Inter"/>
        <w:color w:val="65726C"/>
        <w:sz w:val="16"/>
        <w:szCs w:val="16"/>
      </w:rPr>
      <w:fldChar w:fldCharType="begin"/>
    </w:r>
    <w:r>
      <w:rPr>
        <w:rFonts w:ascii="Inter" w:hAnsi="Inter" w:cs="Inter" w:eastAsia="Inter"/>
        <w:color w:val="65726C"/>
        <w:sz w:val="16"/>
        <w:szCs w:val="16"/>
      </w:rPr>
      <w:instrText xml:space="preserve"> NUMPAGES </w:instrText>
    </w:r>
    <w:r>
      <w:rPr>
        <w:rFonts w:ascii="Inter" w:hAnsi="Inter" w:cs="Inter" w:eastAsia="Inter"/>
        <w:color w:val="65726C"/>
        <w:sz w:val="16"/>
        <w:szCs w:val="16"/>
      </w:rPr>
      <w:fldChar w:fldCharType="separate"/>
    </w:r>
    <w:r>
      <w:rPr>
        <w:rFonts w:ascii="Inter" w:hAnsi="Inter" w:cs="Inter" w:eastAsia="Inter"/>
        <w:color w:val="65726C"/>
        <w:sz w:val="16"/>
        <w:szCs w:val="16"/>
      </w:rPr>
      <w:t>1</w:t>
    </w:r>
    <w:r>
      <w:rPr>
        <w:rFonts w:ascii="Inter" w:hAnsi="Inter" w:cs="Inter" w:eastAsia="Inter"/>
        <w:color w:val="65726C"/>
        <w:sz w:val="16"/>
        <w:szCs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92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These distinctions follow the current application’s IVR screen and route contracts. Example version numbers and organizations are fictional.</w:t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Normal"/>
      <w:pBdr>
        <w:bottom w:val="single" w:sz="12" w:space="6" w:color="1F7558"/>
      </w:pBdr>
      <w:tabs>
        <w:tab w:val="right" w:pos="9360"/>
      </w:tabs>
      <w:spacing w:after="0" w:line="240" w:lineRule="auto"/>
    </w:pPr>
    <w:r>
      <w:drawing>
        <wp:inline distT="0" distB="0" distL="0" distR="0">
          <wp:extent cx="526079" cy="526079"/>
          <wp:docPr id="11" name="IVR Cloud logo" descr="IVR Cloud symbol"/>
          <a:graphic>
            <a:graphicData uri="http://schemas.openxmlformats.org/drawingml/2006/picture">
              <pic:pic>
                <pic:nvPicPr>
                  <pic:cNvPr id="11" name="logo.png" descr="IVR Cloud symbol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6079" cy="5260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Inter" w:hAnsi="Inter" w:cs="Inter" w:eastAsia="Inter"/>
        <w:b/>
        <w:bCs/>
        <w:color w:val="14231F"/>
        <w:spacing w:val="-10"/>
        <w:sz w:val="40"/>
        <w:szCs w:val="40"/>
      </w:rPr>
      <w:t xml:space="preserve">  IVR Cloud</w: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Normal"/>
      <w:pBdr>
        <w:bottom w:val="single" w:sz="6" w:space="6" w:color="E4EBE7"/>
      </w:pBdr>
      <w:tabs>
        <w:tab w:val="right" w:pos="9360"/>
      </w:tabs>
      <w:spacing w:after="0" w:line="240" w:lineRule="auto"/>
    </w:pPr>
    <w:r>
      <w:drawing>
        <wp:inline distT="0" distB="0" distL="0" distR="0">
          <wp:extent cx="190500" cy="190500"/>
          <wp:docPr id="12" name="IVR Cloud logo" descr="IVR Cloud symbol"/>
          <a:graphic>
            <a:graphicData uri="http://schemas.openxmlformats.org/drawingml/2006/picture">
              <pic:pic>
                <pic:nvPicPr>
                  <pic:cNvPr id="12" name="logo.png" descr="IVR Cloud symbol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Inter" w:hAnsi="Inter" w:cs="Inter" w:eastAsia="Inter"/>
        <w:b/>
        <w:bCs/>
        <w:color w:val="14231F"/>
        <w:sz w:val="22"/>
        <w:szCs w:val="22"/>
      </w:rPr>
      <w:t xml:space="preserve">  IVR Cloud</w:t>
    </w:r>
    <w:r>
      <w:tab/>
    </w:r>
    <w:r>
      <w:rPr>
        <w:rFonts w:ascii="DejaVu Sans Mono" w:hAnsi="DejaVu Sans Mono" w:cs="DejaVu Sans Mono" w:eastAsia="DejaVu Sans Mono"/>
        <w:color w:val="65726C"/>
        <w:sz w:val="15"/>
        <w:szCs w:val="15"/>
      </w:rPr>
      <w:fldChar w:fldCharType="begin"/>
    </w:r>
    <w:r>
      <w:rPr>
        <w:rFonts w:ascii="DejaVu Sans Mono" w:hAnsi="DejaVu Sans Mono" w:cs="DejaVu Sans Mono" w:eastAsia="DejaVu Sans Mono"/>
        <w:color w:val="65726C"/>
        <w:sz w:val="15"/>
        <w:szCs w:val="15"/>
      </w:rPr>
      <w:instrText xml:space="preserve"> TITLE </w:instrText>
    </w:r>
    <w:r>
      <w:rPr>
        <w:rFonts w:ascii="DejaVu Sans Mono" w:hAnsi="DejaVu Sans Mono" w:cs="DejaVu Sans Mono" w:eastAsia="DejaVu Sans Mono"/>
        <w:color w:val="65726C"/>
        <w:sz w:val="15"/>
        <w:szCs w:val="15"/>
      </w:rPr>
      <w:fldChar w:fldCharType="separate"/>
    </w:r>
    <w:r>
      <w:rPr>
        <w:rFonts w:ascii="DejaVu Sans Mono" w:hAnsi="DejaVu Sans Mono" w:cs="DejaVu Sans Mono" w:eastAsia="DejaVu Sans Mono"/>
        <w:color w:val="65726C"/>
        <w:sz w:val="15"/>
        <w:szCs w:val="15"/>
      </w:rPr>
      <w:t>Document title</w:t>
    </w:r>
    <w:r>
      <w:rPr>
        <w:rFonts w:ascii="DejaVu Sans Mono" w:hAnsi="DejaVu Sans Mono" w:cs="DejaVu Sans Mono" w:eastAsia="DejaVu Sans Mono"/>
        <w:color w:val="65726C"/>
        <w:sz w:val="15"/>
        <w:szCs w:val="15"/>
      </w:rPr>
      <w:fldChar w:fldCharType="end"/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nter" w:cs="Inter" w:eastAsia="Inter" w:hAnsi="Inter"/>
        <w:sz w:val="22"/>
        <w:szCs w:val="22"/>
        <w:lang w:bidi="ar-SA" w:eastAsia="en-US" w:val="en-US"/>
      </w:rPr>
    </w:rPrDefault>
    <w:pPrDefault>
      <w:pPr>
        <w:spacing w:after="140" w:line="300" w:lineRule="auto"/>
      </w:pPr>
    </w:pPrDefault>
  </w:docDefaults>
  <w:latentStyles w:count="276" w:defLockedState="0" w:defQFormat="0" w:defSemiHidden="0" w:defUIPriority="0" w:defUnhideWhenUsed="0"/>
  <w:style w:default="1" w:styleId="DefaultParagraphFont" w:type="character">
    <w:name w:val="Default Paragraph Font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rmal" w:type="paragraph">
    <w:name w:val="Normal"/>
    <w:qFormat/>
    <w:pPr/>
    <w:rPr>
      <w:rFonts w:ascii="Inter" w:cs="Inter" w:eastAsia="Inter" w:hAnsi="Inter"/>
      <w:color w:val="14231F"/>
      <w:sz w:val="22"/>
      <w:szCs w:val="22"/>
    </w:rPr>
  </w:style>
  <w:style w:styleId="BodyText" w:type="paragraph">
    <w:name w:val="Body Text"/>
    <w:basedOn w:val="Normal"/>
    <w:next w:val="BodyText"/>
    <w:link w:val="BodyTextChar"/>
    <w:qFormat/>
    <w:pPr>
      <w:spacing w:after="80" w:before="0" w:line="276" w:lineRule="auto"/>
    </w:pPr>
  </w:style>
  <w:style w:customStyle="1" w:styleId="FirstParagraph" w:type="paragraph">
    <w:name w:val="First Paragraph"/>
    <w:basedOn w:val="BodyText"/>
    <w:next w:val="BodyText"/>
    <w:qFormat/>
    <w:pPr/>
  </w:style>
  <w:style w:customStyle="1" w:styleId="Compact" w:type="paragraph">
    <w:name w:val="Compact"/>
    <w:basedOn w:val="BodyText"/>
    <w:qFormat/>
    <w:pPr>
      <w:spacing w:after="40" w:before="40" w:line="276" w:lineRule="auto"/>
    </w:pPr>
  </w:style>
  <w:style w:styleId="Title" w:type="paragraph">
    <w:name w:val="Title"/>
    <w:basedOn w:val="Normal"/>
    <w:next w:val="BodyText"/>
    <w:qFormat/>
    <w:pPr>
      <w:keepNext/>
      <w:keepLines/>
      <w:spacing w:after="100" w:before="0" w:line="240" w:lineRule="auto"/>
      <w:jc w:val="left"/>
    </w:pPr>
    <w:rPr>
      <w:rFonts w:ascii="Inter" w:cs="Inter" w:eastAsia="Inter" w:hAnsi="Inter"/>
      <w:b/>
      <w:bCs/>
      <w:color w:val="14231F"/>
      <w:spacing w:val="-20"/>
      <w:sz w:val="56"/>
      <w:szCs w:val="56"/>
    </w:rPr>
  </w:style>
  <w:style w:styleId="Subtitle" w:type="paragraph">
    <w:name w:val="Subtitle"/>
    <w:basedOn w:val="Normal"/>
    <w:next w:val="BodyText"/>
    <w:qFormat/>
    <w:pPr>
      <w:keepNext/>
      <w:keepLines/>
      <w:spacing w:after="160" w:before="0"/>
      <w:jc w:val="left"/>
    </w:pPr>
    <w:rPr>
      <w:rFonts w:ascii="Inter" w:cs="Inter" w:eastAsia="Inter" w:hAnsi="Inter"/>
      <w:color w:val="65726C"/>
      <w:sz w:val="24"/>
      <w:szCs w:val="24"/>
    </w:rPr>
  </w:style>
  <w:style w:customStyle="1" w:styleId="Author" w:type="paragraph">
    <w:name w:val="Author"/>
    <w:basedOn w:val="Normal"/>
    <w:next w:val="BodyText"/>
    <w:qFormat/>
    <w:pPr>
      <w:keepNext/>
      <w:keepLines/>
      <w:spacing w:after="40" w:before="0"/>
      <w:jc w:val="left"/>
    </w:pPr>
    <w:rPr>
      <w:rFonts w:ascii="Inter" w:cs="Inter" w:eastAsia="Inter" w:hAnsi="Inter"/>
      <w:b/>
      <w:bCs/>
      <w:color w:val="14231F"/>
      <w:sz w:val="22"/>
      <w:szCs w:val="22"/>
    </w:rPr>
  </w:style>
  <w:style w:customStyle="1" w:styleId="Date" w:type="paragraph">
    <w:name w:val="Date"/>
    <w:basedOn w:val="Normal"/>
    <w:next w:val="BodyText"/>
    <w:qFormat/>
    <w:pPr>
      <w:keepNext/>
      <w:keepLines/>
      <w:spacing w:after="320" w:before="0"/>
      <w:jc w:val="left"/>
    </w:pPr>
    <w:rPr>
      <w:rFonts w:ascii="DejaVu Sans Mono" w:cs="DejaVu Sans Mono" w:eastAsia="DejaVu Sans Mono" w:hAnsi="DejaVu Sans Mono"/>
      <w:color w:val="65726C"/>
      <w:sz w:val="18"/>
      <w:szCs w:val="18"/>
    </w:rPr>
  </w:style>
  <w:style w:customStyle="1" w:styleId="AbstractTitle" w:type="paragraph">
    <w:name w:val="Abstract Title"/>
    <w:basedOn w:val="Normal"/>
    <w:next w:val="Abstract"/>
    <w:qFormat/>
    <w:pPr>
      <w:keepNext/>
      <w:spacing w:after="60" w:before="240"/>
    </w:pPr>
    <w:rPr>
      <w:rFonts w:ascii="DejaVu Sans Mono" w:cs="DejaVu Sans Mono" w:eastAsia="DejaVu Sans Mono" w:hAnsi="DejaVu Sans Mono"/>
      <w:b/>
      <w:bCs/>
      <w:caps/>
      <w:color w:val="1F7558"/>
      <w:spacing w:val="24"/>
      <w:sz w:val="16"/>
      <w:szCs w:val="16"/>
    </w:rPr>
  </w:style>
  <w:style w:customStyle="1" w:styleId="Abstract" w:type="paragraph">
    <w:name w:val="Abstract"/>
    <w:basedOn w:val="Normal"/>
    <w:next w:val="BodyText"/>
    <w:qFormat/>
    <w:pPr>
      <w:pBdr>
        <w:left w:color="1F7558" w:space="12" w:sz="18" w:val="single"/>
      </w:pBdr>
      <w:ind w:left="240"/>
      <w:spacing w:after="160" w:before="0" w:line="276" w:lineRule="auto"/>
    </w:pPr>
    <w:rPr>
      <w:rFonts w:ascii="Inter" w:cs="Inter" w:eastAsia="Inter" w:hAnsi="Inter"/>
      <w:color w:val="14231F"/>
      <w:sz w:val="22"/>
      <w:szCs w:val="22"/>
    </w:rPr>
  </w:style>
  <w:style w:customStyle="1" w:styleId="Bibliography" w:type="paragraph">
    <w:name w:val="Bibliography"/>
    <w:basedOn w:val="Normal"/>
    <w:qFormat/>
    <w:pPr>
      <w:ind w:hanging="360" w:left="360"/>
      <w:spacing w:after="100" w:before="0"/>
    </w:pPr>
    <w:rPr>
      <w:rFonts w:ascii="Inter" w:cs="Inter" w:eastAsia="Inter" w:hAnsi="Inter"/>
      <w:color w:val="14231F"/>
      <w:sz w:val="20"/>
      <w:szCs w:val="20"/>
    </w:rPr>
  </w:style>
  <w:style w:styleId="Heading1" w:type="paragraph">
    <w:name w:val="heading 1"/>
    <w:basedOn w:val="Normal"/>
    <w:next w:val="BodyText"/>
    <w:qFormat/>
    <w:pPr>
      <w:keepNext/>
      <w:keepLines/>
      <w:spacing w:after="100" w:before="240" w:line="240" w:lineRule="auto"/>
      <w:outlineLvl w:val="0"/>
    </w:pPr>
    <w:rPr>
      <w:rFonts w:ascii="Inter" w:cs="Inter" w:eastAsia="Inter" w:hAnsi="Inter"/>
      <w:b/>
      <w:bCs/>
      <w:color w:val="1F7558"/>
      <w:spacing w:val="-10"/>
      <w:sz w:val="32"/>
      <w:szCs w:val="32"/>
    </w:rPr>
  </w:style>
  <w:style w:styleId="Heading2" w:type="paragraph">
    <w:name w:val="heading 2"/>
    <w:basedOn w:val="Normal"/>
    <w:next w:val="BodyText"/>
    <w:qFormat/>
    <w:pPr>
      <w:keepNext/>
      <w:keepLines/>
      <w:spacing w:after="80" w:before="200" w:line="240" w:lineRule="auto"/>
      <w:outlineLvl w:val="1"/>
    </w:pPr>
    <w:rPr>
      <w:rFonts w:ascii="Inter" w:cs="Inter" w:eastAsia="Inter" w:hAnsi="Inter"/>
      <w:b/>
      <w:bCs/>
      <w:color w:val="14231F"/>
      <w:spacing w:val="-10"/>
      <w:sz w:val="26"/>
      <w:szCs w:val="26"/>
    </w:rPr>
  </w:style>
  <w:style w:styleId="Heading3" w:type="paragraph">
    <w:name w:val="heading 3"/>
    <w:basedOn w:val="Normal"/>
    <w:next w:val="BodyText"/>
    <w:qFormat/>
    <w:pPr>
      <w:keepNext/>
      <w:keepLines/>
      <w:spacing w:after="60" w:before="160" w:line="240" w:lineRule="auto"/>
      <w:outlineLvl w:val="2"/>
    </w:pPr>
    <w:rPr>
      <w:rFonts w:ascii="Inter" w:cs="Inter" w:eastAsia="Inter" w:hAnsi="Inter"/>
      <w:b/>
      <w:bCs/>
      <w:color w:val="1F7558"/>
      <w:sz w:val="22"/>
      <w:szCs w:val="22"/>
    </w:rPr>
  </w:style>
  <w:style w:styleId="Heading4" w:type="paragraph">
    <w:name w:val="heading 4"/>
    <w:basedOn w:val="Normal"/>
    <w:next w:val="BodyText"/>
    <w:qFormat/>
    <w:pPr>
      <w:keepNext/>
      <w:keepLines/>
      <w:spacing w:after="60" w:before="160"/>
      <w:outlineLvl w:val="3"/>
    </w:pPr>
    <w:rPr>
      <w:rFonts w:ascii="Inter" w:cs="Inter" w:eastAsia="Inter" w:hAnsi="Inter"/>
      <w:b/>
      <w:bCs/>
      <w:color w:val="14231F"/>
      <w:sz w:val="22"/>
      <w:szCs w:val="22"/>
    </w:rPr>
  </w:style>
  <w:style w:styleId="Heading5" w:type="paragraph">
    <w:name w:val="heading 5"/>
    <w:basedOn w:val="Normal"/>
    <w:next w:val="BodyText"/>
    <w:qFormat/>
    <w:pPr>
      <w:keepNext/>
      <w:keepLines/>
      <w:spacing w:after="60" w:before="120"/>
      <w:outlineLvl w:val="4"/>
    </w:pPr>
    <w:rPr>
      <w:rFonts w:ascii="Inter" w:cs="Inter" w:eastAsia="Inter" w:hAnsi="Inter"/>
      <w:b/>
      <w:bCs/>
      <w:color w:val="65726C"/>
      <w:sz w:val="21"/>
      <w:szCs w:val="21"/>
    </w:rPr>
  </w:style>
  <w:style w:styleId="Heading6" w:type="paragraph">
    <w:name w:val="heading 6"/>
    <w:basedOn w:val="Normal"/>
    <w:next w:val="BodyText"/>
    <w:qFormat/>
    <w:pPr>
      <w:keepNext/>
      <w:keepLines/>
      <w:spacing w:after="60" w:before="120"/>
      <w:outlineLvl w:val="5"/>
    </w:pPr>
    <w:rPr>
      <w:rFonts w:ascii="Inter" w:cs="Inter" w:eastAsia="Inter" w:hAnsi="Inter"/>
      <w:b/>
      <w:bCs/>
      <w:i/>
      <w:iCs/>
      <w:color w:val="65726C"/>
      <w:sz w:val="20"/>
      <w:szCs w:val="20"/>
    </w:rPr>
  </w:style>
  <w:style w:styleId="Heading7" w:type="paragraph">
    <w:name w:val="heading 7"/>
    <w:basedOn w:val="Normal"/>
    <w:next w:val="BodyText"/>
    <w:qFormat/>
    <w:pPr>
      <w:keepNext/>
      <w:keepLines/>
      <w:spacing w:after="60" w:before="200"/>
      <w:outlineLvl w:val="6"/>
    </w:pPr>
    <w:rPr>
      <w:rFonts w:ascii="Inter" w:cs="Inter" w:eastAsia="Inter" w:hAnsi="Inter"/>
      <w:i/>
      <w:iCs/>
      <w:color w:val="65726C"/>
      <w:sz w:val="20"/>
      <w:szCs w:val="20"/>
    </w:rPr>
  </w:style>
  <w:style w:styleId="Heading8" w:type="paragraph">
    <w:name w:val="heading 8"/>
    <w:basedOn w:val="Normal"/>
    <w:next w:val="BodyText"/>
    <w:qFormat/>
    <w:pPr>
      <w:keepNext/>
      <w:keepLines/>
      <w:spacing w:after="60" w:before="200"/>
      <w:outlineLvl w:val="7"/>
    </w:pPr>
    <w:rPr>
      <w:rFonts w:ascii="Inter" w:cs="Inter" w:eastAsia="Inter" w:hAnsi="Inter"/>
      <w:i/>
      <w:iCs/>
      <w:color w:val="65726C"/>
      <w:sz w:val="20"/>
      <w:szCs w:val="20"/>
    </w:rPr>
  </w:style>
  <w:style w:styleId="Heading9" w:type="paragraph">
    <w:name w:val="heading 9"/>
    <w:basedOn w:val="Normal"/>
    <w:next w:val="BodyText"/>
    <w:qFormat/>
    <w:pPr>
      <w:keepNext/>
      <w:keepLines/>
      <w:spacing w:after="60" w:before="200"/>
      <w:outlineLvl w:val="8"/>
    </w:pPr>
    <w:rPr>
      <w:rFonts w:ascii="Inter" w:cs="Inter" w:eastAsia="Inter" w:hAnsi="Inter"/>
      <w:i/>
      <w:iCs/>
      <w:color w:val="65726C"/>
      <w:sz w:val="20"/>
      <w:szCs w:val="20"/>
    </w:rPr>
  </w:style>
  <w:style w:styleId="BlockText" w:type="paragraph">
    <w:name w:val="Block Text"/>
    <w:basedOn w:val="BodyText"/>
    <w:next w:val="BodyText"/>
    <w:qFormat/>
    <w:pPr>
      <w:pBdr>
        <w:left w:color="1F7558" w:space="12" w:sz="18" w:val="single"/>
      </w:pBdr>
      <w:ind w:left="300"/>
      <w:spacing w:after="80" w:before="80" w:line="276" w:lineRule="auto"/>
    </w:pPr>
    <w:rPr>
      <w:i/>
      <w:iCs/>
      <w:color w:val="14231F"/>
    </w:rPr>
  </w:style>
  <w:style w:styleId="FootnoteText" w:type="paragraph">
    <w:name w:val="Footnote Text"/>
    <w:basedOn w:val="Normal"/>
    <w:link w:val="FootnoteTextChar"/>
    <w:qFormat/>
    <w:pPr>
      <w:spacing w:after="40" w:before="0"/>
    </w:pPr>
    <w:rPr>
      <w:rFonts w:ascii="Inter" w:cs="Inter" w:eastAsia="Inter" w:hAnsi="Inter"/>
      <w:color w:val="65726C"/>
      <w:sz w:val="18"/>
      <w:szCs w:val="18"/>
    </w:rPr>
  </w:style>
  <w:style w:customStyle="1" w:styleId="DefinitionTerm" w:type="paragraph">
    <w:name w:val="Definition Term"/>
    <w:basedOn w:val="Normal"/>
    <w:next w:val="Definition"/>
    <w:qFormat/>
    <w:pPr>
      <w:keepNext/>
      <w:keepLines/>
      <w:spacing w:after="0" w:before="120"/>
    </w:pPr>
    <w:rPr>
      <w:b/>
      <w:bCs/>
      <w:color w:val="14231F"/>
    </w:rPr>
  </w:style>
  <w:style w:customStyle="1" w:styleId="Definition" w:type="paragraph">
    <w:name w:val="Definition"/>
    <w:basedOn w:val="Normal"/>
    <w:qFormat/>
    <w:pPr>
      <w:ind w:left="360"/>
      <w:spacing w:after="120" w:before="0"/>
    </w:pPr>
  </w:style>
  <w:style w:styleId="Caption" w:type="paragraph">
    <w:name w:val="Caption"/>
    <w:basedOn w:val="Normal"/>
    <w:qFormat/>
    <w:pPr>
      <w:spacing w:after="120" w:before="60"/>
    </w:pPr>
    <w:rPr>
      <w:rFonts w:ascii="DejaVu Sans Mono" w:cs="DejaVu Sans Mono" w:eastAsia="DejaVu Sans Mono" w:hAnsi="DejaVu Sans Mono"/>
      <w:color w:val="65726C"/>
      <w:sz w:val="18"/>
      <w:szCs w:val="18"/>
    </w:rPr>
  </w:style>
  <w:style w:customStyle="1" w:styleId="TableCaption" w:type="paragraph">
    <w:name w:val="Table Caption"/>
    <w:basedOn w:val="Caption"/>
    <w:qFormat/>
    <w:pPr>
      <w:keepNext/>
      <w:keepLines/>
      <w:spacing w:after="60" w:before="100"/>
    </w:pPr>
    <w:rPr>
      <w:rFonts w:ascii="DejaVu Sans Mono" w:cs="DejaVu Sans Mono" w:eastAsia="DejaVu Sans Mono" w:hAnsi="DejaVu Sans Mono"/>
      <w:color w:val="65726C"/>
      <w:sz w:val="18"/>
      <w:szCs w:val="18"/>
    </w:rPr>
  </w:style>
  <w:style w:customStyle="1" w:styleId="ImageCaption" w:type="paragraph">
    <w:name w:val="Image Caption"/>
    <w:basedOn w:val="Caption"/>
    <w:qFormat/>
    <w:pPr>
      <w:spacing w:after="120" w:before="60"/>
    </w:pPr>
    <w:rPr>
      <w:rFonts w:ascii="DejaVu Sans Mono" w:cs="DejaVu Sans Mono" w:eastAsia="DejaVu Sans Mono" w:hAnsi="DejaVu Sans Mono"/>
      <w:color w:val="65726C"/>
      <w:sz w:val="18"/>
      <w:szCs w:val="18"/>
    </w:rPr>
  </w:style>
  <w:style w:customStyle="1" w:styleId="Figure" w:type="paragraph">
    <w:name w:val="Figure"/>
    <w:basedOn w:val="Normal"/>
    <w:qFormat/>
    <w:pPr>
      <w:keepNext/>
      <w:keepLines/>
      <w:spacing w:after="0" w:before="120"/>
    </w:pPr>
  </w:style>
  <w:style w:customStyle="1" w:styleId="CaptionedFigure" w:type="paragraph">
    <w:name w:val="Captioned Figure"/>
    <w:basedOn w:val="Figure"/>
    <w:qFormat/>
    <w:pPr>
      <w:keepNext/>
    </w:pPr>
  </w:style>
  <w:style w:styleId="TOCHeading" w:type="paragraph">
    <w:name w:val="TOC Heading"/>
    <w:basedOn w:val="Heading1"/>
    <w:next w:val="BodyText"/>
    <w:qFormat/>
    <w:pPr>
      <w:outlineLvl w:val="9"/>
    </w:pPr>
  </w:style>
  <w:style w:customStyle="1" w:styleId="Callout" w:type="paragraph">
    <w:name w:val="Callout"/>
    <w:basedOn w:val="BodyText"/>
    <w:next w:val="BodyText"/>
    <w:qFormat/>
    <w:pPr>
      <w:keepLines/>
      <w:pBdr>
        <w:left w:color="1F7558" w:space="10" w:sz="24" w:val="single"/>
      </w:pBdr>
      <w:shd w:color="auto" w:fill="EDF6F1" w:val="clear"/>
      <w:ind w:left="200" w:right="100"/>
      <w:spacing w:after="80" w:before="80" w:line="276" w:lineRule="auto"/>
    </w:pPr>
  </w:style>
  <w:style w:styleId="Label" w:type="character">
    <w:name w:val="Label"/>
    <w:basedOn w:val="DefaultParagraphFont"/>
    <w:qFormat/>
    <w:rPr>
      <w:rFonts w:ascii="DejaVu Sans Mono" w:cs="DejaVu Sans Mono" w:eastAsia="DejaVu Sans Mono" w:hAnsi="DejaVu Sans Mono"/>
      <w:b/>
      <w:bCs/>
      <w:caps/>
      <w:color w:val="1F7558"/>
      <w:spacing w:val="20"/>
      <w:sz w:val="16"/>
      <w:szCs w:val="16"/>
    </w:rPr>
  </w:style>
  <w:style w:customStyle="1" w:styleId="SourceCode" w:type="paragraph">
    <w:name w:val="Source Code"/>
    <w:basedOn w:val="Normal"/>
    <w:next w:val="SourceCode"/>
    <w:qFormat/>
    <w:pPr>
      <w:keepLines/>
      <w:pBdr>
        <w:left w:color="1F7558" w:space="8" w:sz="18" w:val="single"/>
      </w:pBdr>
      <w:shd w:color="auto" w:fill="EDF6F1" w:val="clear"/>
      <w:wordWrap w:val="0"/>
      <w:ind w:left="120" w:right="120"/>
      <w:spacing w:after="80" w:before="80" w:line="252" w:lineRule="auto"/>
    </w:pPr>
    <w:rPr>
      <w:rFonts w:ascii="DejaVu Sans Mono" w:cs="DejaVu Sans Mono" w:eastAsia="DejaVu Sans Mono" w:hAnsi="DejaVu Sans Mono"/>
      <w:color w:val="14231F"/>
      <w:sz w:val="18"/>
      <w:szCs w:val="18"/>
    </w:rPr>
  </w:style>
  <w:style w:styleId="BodyTextChar" w:type="character">
    <w:name w:val="Body Text Char"/>
    <w:basedOn w:val="DefaultParagraphFont"/>
    <w:qFormat/>
    <w:rPr>
      <w:rFonts w:ascii="Inter" w:cs="Inter" w:eastAsia="Inter" w:hAnsi="Inter"/>
      <w:color w:val="14231F"/>
      <w:sz w:val="22"/>
      <w:szCs w:val="22"/>
    </w:rPr>
  </w:style>
  <w:style w:styleId="FootnoteTextChar" w:type="character">
    <w:name w:val="Footnote Text Char"/>
    <w:basedOn w:val="DefaultParagraphFont"/>
    <w:qFormat/>
    <w:rPr>
      <w:rFonts w:ascii="Inter" w:cs="Inter" w:eastAsia="Inter" w:hAnsi="Inter"/>
      <w:color w:val="65726C"/>
      <w:sz w:val="18"/>
      <w:szCs w:val="18"/>
    </w:rPr>
  </w:style>
  <w:style w:styleId="VerbatimChar" w:type="character">
    <w:name w:val="Verbatim Char"/>
    <w:basedOn w:val="DefaultParagraphFont"/>
    <w:qFormat/>
    <w:rPr>
      <w:rFonts w:ascii="DejaVu Sans Mono" w:cs="DejaVu Sans Mono" w:eastAsia="DejaVu Sans Mono" w:hAnsi="DejaVu Sans Mono"/>
      <w:color w:val="14231F"/>
      <w:sz w:val="19"/>
      <w:szCs w:val="19"/>
      <w:shd w:color="auto" w:fill="EDF6F1" w:val="clear"/>
    </w:rPr>
  </w:style>
  <w:style w:styleId="SectionNumber" w:type="character">
    <w:name w:val="Section Number"/>
    <w:basedOn w:val="DefaultParagraphFont"/>
    <w:qFormat/>
    <w:rPr>
      <w:b/>
    </w:rPr>
  </w:style>
  <w:style w:styleId="FootnoteReference" w:type="character">
    <w:name w:val="Footnote Reference"/>
    <w:basedOn w:val="DefaultParagraphFont"/>
    <w:qFormat/>
    <w:rPr>
      <w:vertAlign w:val="superscript"/>
    </w:rPr>
  </w:style>
  <w:style w:styleId="Hyperlink" w:type="character">
    <w:name w:val="Hyperlink"/>
    <w:basedOn w:val="DefaultParagraphFont"/>
    <w:qFormat/>
    <w:rPr>
      <w:color w:val="1F7558"/>
      <w:u w:val="single"/>
    </w:rPr>
  </w:style>
  <w:style w:styleId="KeywordTok" w:type="character">
    <w:name w:val="KeywordTok"/>
    <w:basedOn w:val="VerbatimChar"/>
    <w:qFormat/>
    <w:rPr>
      <w:b/>
      <w:bCs/>
      <w:color w:val="1F7558"/>
    </w:rPr>
  </w:style>
  <w:style w:styleId="ControlFlowTok" w:type="character">
    <w:name w:val="ControlFlowTok"/>
    <w:basedOn w:val="VerbatimChar"/>
    <w:qFormat/>
    <w:rPr>
      <w:b/>
      <w:bCs/>
      <w:color w:val="1F7558"/>
    </w:rPr>
  </w:style>
  <w:style w:styleId="DataTypeTok" w:type="character">
    <w:name w:val="DataTypeTok"/>
    <w:basedOn w:val="VerbatimChar"/>
    <w:qFormat/>
    <w:rPr>
      <w:color w:val="1F7558"/>
    </w:rPr>
  </w:style>
  <w:style w:styleId="StringTok" w:type="character">
    <w:name w:val="StringTok"/>
    <w:basedOn w:val="VerbatimChar"/>
    <w:qFormat/>
    <w:rPr>
      <w:color w:val="1F7558"/>
    </w:rPr>
  </w:style>
  <w:style w:styleId="CharTok" w:type="character">
    <w:name w:val="CharTok"/>
    <w:basedOn w:val="VerbatimChar"/>
    <w:qFormat/>
    <w:rPr>
      <w:color w:val="1F7558"/>
    </w:rPr>
  </w:style>
  <w:style w:styleId="SpecialStringTok" w:type="character">
    <w:name w:val="SpecialStringTok"/>
    <w:basedOn w:val="VerbatimChar"/>
    <w:qFormat/>
    <w:rPr>
      <w:color w:val="1F7558"/>
    </w:rPr>
  </w:style>
  <w:style w:styleId="VerbatimStringTok" w:type="character">
    <w:name w:val="VerbatimStringTok"/>
    <w:basedOn w:val="VerbatimChar"/>
    <w:qFormat/>
    <w:rPr>
      <w:color w:val="1F7558"/>
    </w:rPr>
  </w:style>
  <w:style w:styleId="CommentTok" w:type="character">
    <w:name w:val="CommentTok"/>
    <w:basedOn w:val="VerbatimChar"/>
    <w:qFormat/>
    <w:rPr>
      <w:i/>
      <w:iCs/>
      <w:color w:val="65726C"/>
    </w:rPr>
  </w:style>
  <w:style w:styleId="DocumentationTok" w:type="character">
    <w:name w:val="DocumentationTok"/>
    <w:basedOn w:val="VerbatimChar"/>
    <w:qFormat/>
    <w:rPr>
      <w:i/>
      <w:iCs/>
      <w:color w:val="65726C"/>
    </w:rPr>
  </w:style>
  <w:style w:styleId="AnnotationTok" w:type="character">
    <w:name w:val="AnnotationTok"/>
    <w:basedOn w:val="VerbatimChar"/>
    <w:qFormat/>
    <w:rPr>
      <w:i/>
      <w:iCs/>
      <w:color w:val="65726C"/>
    </w:rPr>
  </w:style>
  <w:style w:styleId="FunctionTok" w:type="character">
    <w:name w:val="FunctionTok"/>
    <w:basedOn w:val="VerbatimChar"/>
    <w:qFormat/>
    <w:rPr>
      <w:b/>
      <w:bCs/>
      <w:color w:val="14231F"/>
    </w:rPr>
  </w:style>
  <w:style w:styleId="NumTok" w:type="character">
    <w:name w:val="NumTok"/>
    <w:basedOn w:val="VerbatimChar"/>
    <w:qFormat/>
    <w:rPr>
      <w:color w:val="805000"/>
    </w:rPr>
  </w:style>
  <w:style w:styleId="DecValTok" w:type="character">
    <w:name w:val="DecValTok"/>
    <w:basedOn w:val="VerbatimChar"/>
    <w:qFormat/>
    <w:rPr>
      <w:color w:val="805000"/>
    </w:rPr>
  </w:style>
  <w:style w:styleId="FloatTok" w:type="character">
    <w:name w:val="FloatTok"/>
    <w:basedOn w:val="VerbatimChar"/>
    <w:qFormat/>
    <w:rPr>
      <w:color w:val="805000"/>
    </w:rPr>
  </w:style>
  <w:style w:styleId="BaseNTok" w:type="character">
    <w:name w:val="BaseNTok"/>
    <w:basedOn w:val="VerbatimChar"/>
    <w:qFormat/>
    <w:rPr>
      <w:color w:val="805000"/>
    </w:rPr>
  </w:style>
  <w:style w:styleId="ConstantTok" w:type="character">
    <w:name w:val="ConstantTok"/>
    <w:basedOn w:val="VerbatimChar"/>
    <w:qFormat/>
    <w:rPr>
      <w:color w:val="805000"/>
    </w:rPr>
  </w:style>
  <w:style w:styleId="AttributeTok" w:type="character">
    <w:name w:val="AttributeTok"/>
    <w:basedOn w:val="VerbatimChar"/>
    <w:qFormat/>
    <w:rPr>
      <w:color w:val="1F7558"/>
    </w:rPr>
  </w:style>
  <w:style w:styleId="VariableTok" w:type="character">
    <w:name w:val="VariableTok"/>
    <w:basedOn w:val="VerbatimChar"/>
    <w:qFormat/>
    <w:rPr>
      <w:color w:val="14231F"/>
    </w:rPr>
  </w:style>
  <w:style w:styleId="OperatorTok" w:type="character">
    <w:name w:val="OperatorTok"/>
    <w:basedOn w:val="VerbatimChar"/>
    <w:qFormat/>
    <w:rPr>
      <w:color w:val="65726C"/>
    </w:rPr>
  </w:style>
  <w:style w:styleId="BuiltInTok" w:type="character">
    <w:name w:val="BuiltInTok"/>
    <w:basedOn w:val="VerbatimChar"/>
    <w:qFormat/>
    <w:rPr>
      <w:color w:val="1F7558"/>
    </w:rPr>
  </w:style>
  <w:style w:styleId="ImportTok" w:type="character">
    <w:name w:val="ImportTok"/>
    <w:basedOn w:val="VerbatimChar"/>
    <w:qFormat/>
    <w:rPr>
      <w:color w:val="1F7558"/>
    </w:rPr>
  </w:style>
  <w:style w:styleId="ErrorTok" w:type="character">
    <w:name w:val="ErrorTok"/>
    <w:basedOn w:val="VerbatimChar"/>
    <w:qFormat/>
    <w:rPr>
      <w:b/>
      <w:bCs/>
      <w:color w:val="A82940"/>
    </w:rPr>
  </w:style>
  <w:style w:styleId="AlertTok" w:type="character">
    <w:name w:val="AlertTok"/>
    <w:basedOn w:val="VerbatimChar"/>
    <w:qFormat/>
    <w:rPr>
      <w:b/>
      <w:bCs/>
      <w:color w:val="A82940"/>
    </w:rPr>
  </w:style>
  <w:style w:styleId="WarningTok" w:type="character">
    <w:name w:val="WarningTok"/>
    <w:basedOn w:val="VerbatimChar"/>
    <w:qFormat/>
    <w:rPr>
      <w:i/>
      <w:iCs/>
      <w:color w:val="A82940"/>
    </w:rPr>
  </w:style>
  <w:style w:customStyle="1" w:styleId="Table" w:type="table">
    <w:name w:val="Table"/>
    <w:basedOn w:val="TableNormal"/>
    <w:qFormat/>
    <w:tblPr>
      <w:tblStyleRowBandSize w:val="1"/>
      <w:tblStyleColBandSize w:val="1"/>
      <w:tblBorders>
        <w:top w:color="E4EBE7" w:space="0" w:sz="6" w:val="single"/>
        <w:bottom w:color="E4EBE7" w:space="0" w:sz="6" w:val="single"/>
        <w:insideH w:color="E4EBE7" w:space="0" w:sz="4" w:val="single"/>
      </w:tblBorders>
      <w:tblCellMar>
        <w:top w:type="dxa" w:w="80"/>
        <w:left w:type="dxa" w:w="100"/>
        <w:bottom w:type="dxa" w:w="80"/>
        <w:right w:type="dxa" w:w="100"/>
      </w:tblCellMar>
    </w:tblPr>
    <w:tblStylePr w:type="firstRow">
      <w:rPr>
        <w:rFonts w:ascii="DejaVu Sans Mono" w:hAnsi="DejaVu Sans Mono"/>
        <w:b/>
        <w:caps/>
        <w:color w:val="1F7558"/>
        <w:sz w:val="17"/>
      </w:rPr>
      <w:tcPr>
        <w:tcBorders>
          <w:bottom w:color="1F7558" w:space="0" w:sz="12" w:val="single"/>
        </w:tcBorders>
      </w:tcPr>
    </w:tblStyle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911" Target="numbering.xml" /><Relationship Type="http://schemas.openxmlformats.org/officeDocument/2006/relationships/styles" Id="rId910" Target="styles.xml" /><Relationship Type="http://schemas.openxmlformats.org/officeDocument/2006/relationships/settings" Id="rId909" Target="settings.xml" /><Relationship Type="http://schemas.openxmlformats.org/officeDocument/2006/relationships/webSettings" Id="rId908" Target="webSettings.xml" /><Relationship Type="http://schemas.openxmlformats.org/officeDocument/2006/relationships/fontTable" Id="rId907" Target="fontTable.xml" /><Relationship Type="http://schemas.openxmlformats.org/officeDocument/2006/relationships/theme" Id="rId906" Target="theme/theme1.xml" /><Relationship Type="http://schemas.openxmlformats.org/officeDocument/2006/relationships/footnotes" Id="rId905" Target="footnotes.xml" /><Relationship Type="http://schemas.openxmlformats.org/officeDocument/2006/relationships/comments" Id="rId904" Target="comments.xml" /><Relationship Id="rId901" Target="header1.xml" Type="http://schemas.openxmlformats.org/officeDocument/2006/relationships/header" /><Relationship Id="rId902" Target="header2.xml" Type="http://schemas.openxmlformats.org/officeDocument/2006/relationships/header" /><Relationship Id="rId903" Target="footer1.xml" Type="http://schemas.openxmlformats.org/officeDocument/2006/relationships/footer" /><Relationship Type="http://schemas.openxmlformats.org/officeDocument/2006/relationships/image" Id="rId912" Target="media/rId912.png" /></Relationships>
</file>

<file path=word/_rels/footnotes.xml.rels><?xml version="1.0" encoding="UTF-8"?><Relationships xmlns="http://schemas.openxmlformats.org/package/2006/relationships" /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/Relationships>
</file>

<file path=word/theme/theme1.xml><?xml version="1.0" encoding="utf-8"?>
<a:theme xmlns:a="http://schemas.openxmlformats.org/drawingml/2006/main" name="Office Theme">
  <a:themeElements>
    <a:clrScheme name="IVR Cloud Cobalt">
      <a:dk1>
        <a:srgbClr val="14231F"/>
      </a:dk1>
      <a:lt1>
        <a:srgbClr val="FFFFFF"/>
      </a:lt1>
      <a:dk2>
        <a:srgbClr val="1F7558"/>
      </a:dk2>
      <a:lt2>
        <a:srgbClr val="FBFCFA"/>
      </a:lt2>
      <a:accent1>
        <a:srgbClr val="1F7558"/>
      </a:accent1>
      <a:accent2>
        <a:srgbClr val="1F7558"/>
      </a:accent2>
      <a:accent3>
        <a:srgbClr val="EDF6F1"/>
      </a:accent3>
      <a:accent4>
        <a:srgbClr val="14231F"/>
      </a:accent4>
      <a:accent5>
        <a:srgbClr val="156B92"/>
      </a:accent5>
      <a:accent6>
        <a:srgbClr val="F4BD50"/>
      </a:accent6>
      <a:hlink>
        <a:srgbClr val="1F7558"/>
      </a:hlink>
      <a:folHlink>
        <a:srgbClr val="65726C"/>
      </a:folHlink>
    </a:clrScheme>
    <a:fontScheme name="IVR Cloud">
      <a:majorFont>
        <a:latin typeface="Inter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Inter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clear caller path</dc:title>
  <dc:creator>IVR Cloud</dc:creator>
  <cp:keywords/>
  <dcterms:created xsi:type="dcterms:W3CDTF">2026-10-13T23:25:27Z</dcterms:created>
  <dcterms:modified xsi:type="dcterms:W3CDTF">2026-10-13T23:25:27Z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">
    <vt:lpwstr>An illustrative implementation brief showing the IVR document system. All organization names, records, and decisions are fictional.</vt:lpwstr>
  </property>
  <property fmtid="{D5CDD505-2E9C-101B-9397-08002B2CF9AE}" pid="3" name="date">
    <vt:lpwstr>13 October 2026</vt:lpwstr>
  </property>
  <property fmtid="{D5CDD505-2E9C-101B-9397-08002B2CF9AE}" pid="4" name="subtitle">
    <vt:lpwstr>Drafts, versions, and phone routes</vt:lpwstr>
  </property>
</Properties>
</file>